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C6DD1" w14:textId="77777777" w:rsidR="00871611" w:rsidRPr="007333ED" w:rsidRDefault="00871611" w:rsidP="00871611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7333ED">
        <w:rPr>
          <w:rFonts w:ascii="Times New Roman" w:hAnsi="Times New Roman"/>
          <w:b/>
          <w:sz w:val="24"/>
          <w:szCs w:val="24"/>
        </w:rPr>
        <w:t xml:space="preserve">Повідомлення про намір отримати дозвіл на викиди </w:t>
      </w:r>
    </w:p>
    <w:p w14:paraId="22C2CE2B" w14:textId="77777777" w:rsidR="00871611" w:rsidRPr="00871611" w:rsidRDefault="00871611" w:rsidP="00871611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871611">
        <w:rPr>
          <w:rFonts w:ascii="Times New Roman" w:hAnsi="Times New Roman"/>
          <w:i/>
          <w:iCs/>
          <w:sz w:val="24"/>
          <w:szCs w:val="24"/>
        </w:rPr>
        <w:t>Повне та скорочене найменування суб’єкта господарювання:</w:t>
      </w:r>
      <w:r w:rsidRPr="00871611">
        <w:rPr>
          <w:rFonts w:ascii="Times New Roman" w:hAnsi="Times New Roman"/>
          <w:sz w:val="24"/>
          <w:szCs w:val="24"/>
        </w:rPr>
        <w:t xml:space="preserve"> Товариство з обмеженою відповідальністю «ЦЕМБУДСЕРВІС» (ТОВ «ЦЕМБУДСЕРВІС»).</w:t>
      </w:r>
      <w:bookmarkStart w:id="0" w:name="n115"/>
      <w:bookmarkEnd w:id="0"/>
    </w:p>
    <w:p w14:paraId="266C00F1" w14:textId="77777777" w:rsidR="00871611" w:rsidRPr="00871611" w:rsidRDefault="00871611" w:rsidP="00871611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871611">
        <w:rPr>
          <w:rFonts w:ascii="Times New Roman" w:hAnsi="Times New Roman"/>
          <w:i/>
          <w:iCs/>
          <w:sz w:val="24"/>
          <w:szCs w:val="24"/>
        </w:rPr>
        <w:t>Ідентифікаційний код юридичної особи в ЄДРПОУ:</w:t>
      </w:r>
      <w:r w:rsidRPr="00871611">
        <w:rPr>
          <w:rFonts w:ascii="Times New Roman" w:hAnsi="Times New Roman"/>
          <w:sz w:val="24"/>
          <w:szCs w:val="24"/>
        </w:rPr>
        <w:t xml:space="preserve"> 37857277.</w:t>
      </w:r>
      <w:bookmarkStart w:id="1" w:name="n116"/>
      <w:bookmarkEnd w:id="1"/>
      <w:r w:rsidRPr="00871611">
        <w:rPr>
          <w:rFonts w:ascii="Times New Roman" w:hAnsi="Times New Roman"/>
          <w:sz w:val="24"/>
          <w:szCs w:val="24"/>
        </w:rPr>
        <w:t xml:space="preserve"> </w:t>
      </w:r>
    </w:p>
    <w:p w14:paraId="186CF5AB" w14:textId="77777777" w:rsidR="00871611" w:rsidRPr="00871611" w:rsidRDefault="00871611" w:rsidP="00871611">
      <w:pPr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71611">
        <w:rPr>
          <w:rFonts w:ascii="Times New Roman" w:hAnsi="Times New Roman"/>
          <w:i/>
          <w:iCs/>
          <w:sz w:val="24"/>
          <w:szCs w:val="24"/>
        </w:rPr>
        <w:t>Місцезнаходження суб’єкта господарювання, контактний номер телефону, адреса електронної пошти суб’єкта господарювання:</w:t>
      </w:r>
      <w:r w:rsidRPr="00871611">
        <w:rPr>
          <w:rFonts w:ascii="Times New Roman" w:hAnsi="Times New Roman"/>
          <w:sz w:val="24"/>
          <w:szCs w:val="24"/>
        </w:rPr>
        <w:t xml:space="preserve"> </w:t>
      </w:r>
      <w:r w:rsidRPr="00871611">
        <w:rPr>
          <w:rFonts w:ascii="Times New Roman" w:hAnsi="Times New Roman"/>
          <w:iCs/>
          <w:color w:val="000000"/>
          <w:sz w:val="24"/>
          <w:szCs w:val="24"/>
        </w:rPr>
        <w:t>03083, м. Київ, вулиця Пирогівський шлях, будинок 34</w:t>
      </w:r>
      <w:r w:rsidRPr="00871611">
        <w:rPr>
          <w:rFonts w:ascii="Times New Roman" w:hAnsi="Times New Roman"/>
          <w:sz w:val="24"/>
          <w:szCs w:val="24"/>
        </w:rPr>
        <w:t xml:space="preserve">; тел.: +380 44 495 33 33; електронна пошта: </w:t>
      </w:r>
      <w:r w:rsidRPr="00871611">
        <w:rPr>
          <w:rFonts w:ascii="Times New Roman" w:hAnsi="Times New Roman"/>
          <w:sz w:val="24"/>
          <w:szCs w:val="24"/>
          <w:lang w:val="en-US"/>
        </w:rPr>
        <w:t>info</w:t>
      </w:r>
      <w:r w:rsidRPr="00871611">
        <w:rPr>
          <w:rFonts w:ascii="Times New Roman" w:hAnsi="Times New Roman"/>
          <w:sz w:val="24"/>
          <w:szCs w:val="24"/>
        </w:rPr>
        <w:t>@</w:t>
      </w:r>
      <w:r w:rsidRPr="00871611">
        <w:rPr>
          <w:rFonts w:ascii="Times New Roman" w:hAnsi="Times New Roman"/>
          <w:sz w:val="24"/>
          <w:szCs w:val="24"/>
          <w:lang w:val="en-US"/>
        </w:rPr>
        <w:t>cement</w:t>
      </w:r>
      <w:r w:rsidRPr="00871611">
        <w:rPr>
          <w:rFonts w:ascii="Times New Roman" w:hAnsi="Times New Roman"/>
          <w:sz w:val="24"/>
          <w:szCs w:val="24"/>
        </w:rPr>
        <w:t>.</w:t>
      </w:r>
      <w:r w:rsidRPr="00871611">
        <w:rPr>
          <w:rFonts w:ascii="Times New Roman" w:hAnsi="Times New Roman"/>
          <w:sz w:val="24"/>
          <w:szCs w:val="24"/>
          <w:lang w:val="en-US"/>
        </w:rPr>
        <w:t>ua</w:t>
      </w:r>
      <w:r w:rsidRPr="00871611">
        <w:rPr>
          <w:rFonts w:ascii="Times New Roman" w:hAnsi="Times New Roman"/>
          <w:sz w:val="24"/>
          <w:szCs w:val="24"/>
        </w:rPr>
        <w:t>.</w:t>
      </w:r>
    </w:p>
    <w:p w14:paraId="27196BFA" w14:textId="77777777" w:rsidR="00871611" w:rsidRPr="00D30778" w:rsidRDefault="00871611" w:rsidP="00871611">
      <w:pPr>
        <w:tabs>
          <w:tab w:val="left" w:pos="709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30778">
        <w:rPr>
          <w:rFonts w:ascii="Times New Roman" w:hAnsi="Times New Roman"/>
          <w:i/>
          <w:iCs/>
          <w:sz w:val="24"/>
          <w:szCs w:val="24"/>
        </w:rPr>
        <w:t>Місцезнаходження промислового майданчика:</w:t>
      </w:r>
      <w:r w:rsidRPr="00D30778">
        <w:rPr>
          <w:rFonts w:ascii="Times New Roman" w:hAnsi="Times New Roman"/>
          <w:sz w:val="24"/>
          <w:szCs w:val="24"/>
        </w:rPr>
        <w:t xml:space="preserve"> 51900, Дніпропетровська обл., м. Кам’янське, </w:t>
      </w:r>
      <w:r w:rsidRPr="00D30778">
        <w:rPr>
          <w:rFonts w:ascii="Times New Roman" w:hAnsi="Times New Roman"/>
          <w:bCs/>
          <w:sz w:val="24"/>
          <w:szCs w:val="24"/>
        </w:rPr>
        <w:t>3-й Травневий провулок, будинок 1-С</w:t>
      </w:r>
      <w:r w:rsidRPr="00D30778">
        <w:rPr>
          <w:rFonts w:ascii="Times New Roman" w:hAnsi="Times New Roman"/>
          <w:sz w:val="24"/>
          <w:szCs w:val="24"/>
        </w:rPr>
        <w:t>.</w:t>
      </w:r>
      <w:bookmarkStart w:id="2" w:name="n118"/>
      <w:bookmarkEnd w:id="2"/>
      <w:r w:rsidRPr="00D30778">
        <w:rPr>
          <w:rFonts w:ascii="Times New Roman" w:hAnsi="Times New Roman"/>
          <w:sz w:val="24"/>
          <w:szCs w:val="24"/>
        </w:rPr>
        <w:t xml:space="preserve"> </w:t>
      </w:r>
    </w:p>
    <w:p w14:paraId="15501AE8" w14:textId="7004BCF4" w:rsidR="00871611" w:rsidRPr="00022EF6" w:rsidRDefault="00871611" w:rsidP="00871611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</w:rPr>
      </w:pPr>
      <w:r w:rsidRPr="00D30778">
        <w:rPr>
          <w:rFonts w:ascii="Times New Roman" w:hAnsi="Times New Roman"/>
          <w:i/>
          <w:iCs/>
          <w:sz w:val="24"/>
          <w:szCs w:val="24"/>
        </w:rPr>
        <w:t>Мета отримання дозволу на викиди:</w:t>
      </w:r>
      <w:r w:rsidRPr="00D30778">
        <w:rPr>
          <w:rFonts w:ascii="Times New Roman" w:hAnsi="Times New Roman"/>
          <w:sz w:val="24"/>
          <w:szCs w:val="24"/>
        </w:rPr>
        <w:t xml:space="preserve"> отримання дозволу на викиди забруднюючих речовин в атмосферне повітря стаціонарними джерелами</w:t>
      </w:r>
      <w:r w:rsidRPr="00022EF6">
        <w:rPr>
          <w:rFonts w:ascii="Times New Roman" w:hAnsi="Times New Roman"/>
          <w:sz w:val="24"/>
        </w:rPr>
        <w:t xml:space="preserve"> для існуючого промислового майданчика у зв’язку з появою новостворених джерел викидів</w:t>
      </w:r>
      <w:r w:rsidRPr="00F34C6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 </w:t>
      </w:r>
      <w:r w:rsidRPr="00F34C68">
        <w:rPr>
          <w:rFonts w:ascii="Times New Roman" w:hAnsi="Times New Roman"/>
          <w:sz w:val="24"/>
        </w:rPr>
        <w:t>дільниц</w:t>
      </w:r>
      <w:r>
        <w:rPr>
          <w:rFonts w:ascii="Times New Roman" w:hAnsi="Times New Roman"/>
          <w:sz w:val="24"/>
        </w:rPr>
        <w:t>і</w:t>
      </w:r>
      <w:r w:rsidRPr="00F34C68">
        <w:rPr>
          <w:rFonts w:ascii="Times New Roman" w:hAnsi="Times New Roman"/>
          <w:sz w:val="24"/>
        </w:rPr>
        <w:t xml:space="preserve"> фасування та пакування готової продукції</w:t>
      </w:r>
      <w:r>
        <w:rPr>
          <w:rFonts w:ascii="Times New Roman" w:hAnsi="Times New Roman"/>
          <w:sz w:val="24"/>
        </w:rPr>
        <w:t>.</w:t>
      </w:r>
    </w:p>
    <w:p w14:paraId="72CFCB60" w14:textId="77777777" w:rsidR="00871611" w:rsidRPr="00D30778" w:rsidRDefault="00871611" w:rsidP="0087161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083F1C">
        <w:rPr>
          <w:i/>
          <w:iCs/>
          <w:lang w:val="uk-UA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 Закону України «Про оцінку впливу на довкілля» підлягає оцінці впливу на довкілля:</w:t>
      </w:r>
      <w:r w:rsidRPr="00083F1C">
        <w:rPr>
          <w:lang w:val="uk-UA"/>
        </w:rPr>
        <w:t xml:space="preserve"> вказаний об’єкт </w:t>
      </w:r>
      <w:r w:rsidRPr="00A82272">
        <w:rPr>
          <w:lang w:val="uk-UA"/>
        </w:rPr>
        <w:t xml:space="preserve">має </w:t>
      </w:r>
      <w:r w:rsidRPr="00D30778">
        <w:rPr>
          <w:color w:val="000000"/>
          <w:lang w:val="uk-UA"/>
        </w:rPr>
        <w:t xml:space="preserve">Висновок з оцінки впливу на довкілля планованої діяльності від </w:t>
      </w:r>
      <w:r w:rsidRPr="00D30778">
        <w:rPr>
          <w:bCs/>
          <w:shd w:val="clear" w:color="auto" w:fill="FFFFFF"/>
          <w:lang w:val="uk-UA"/>
        </w:rPr>
        <w:t>21.10.2024</w:t>
      </w:r>
      <w:r w:rsidRPr="00D30778">
        <w:rPr>
          <w:color w:val="000000"/>
          <w:lang w:val="uk-UA"/>
        </w:rPr>
        <w:t xml:space="preserve"> ОВД Вих. №</w:t>
      </w:r>
      <w:r w:rsidRPr="008F26A1">
        <w:rPr>
          <w:color w:val="000000"/>
        </w:rPr>
        <w:t> </w:t>
      </w:r>
      <w:r w:rsidRPr="00D30778">
        <w:rPr>
          <w:bCs/>
          <w:shd w:val="clear" w:color="auto" w:fill="FFFFFF"/>
          <w:lang w:val="uk-UA"/>
        </w:rPr>
        <w:t>158/0/490-24, реєстраційний номер справи 9244 (202310211133) планованої діяльності</w:t>
      </w:r>
      <w:r w:rsidRPr="00D30778">
        <w:rPr>
          <w:color w:val="000000"/>
          <w:lang w:val="uk-UA"/>
        </w:rPr>
        <w:t xml:space="preserve"> «</w:t>
      </w:r>
      <w:r w:rsidRPr="00D30778">
        <w:rPr>
          <w:lang w:val="uk-UA"/>
        </w:rPr>
        <w:t>Технічне переоснащення дільниці фасування та пакування готової продукції на території діючого підприємства ТОВ</w:t>
      </w:r>
      <w:r w:rsidRPr="006C1B14">
        <w:t> </w:t>
      </w:r>
      <w:r w:rsidRPr="00D30778">
        <w:rPr>
          <w:lang w:val="uk-UA"/>
        </w:rPr>
        <w:t>«ЦЕМБУДСЕРВІС» за адресою: 51906, Дніпропетровська обл., м. Кам’янське, 3-й Травневий провулок, будинок 1-С</w:t>
      </w:r>
      <w:r w:rsidRPr="00D30778">
        <w:rPr>
          <w:color w:val="000000"/>
          <w:lang w:val="uk-UA"/>
        </w:rPr>
        <w:t>», виданий Департаментом екології та природних ресурсів Дніпропетровської обласної військової адміністрації.</w:t>
      </w:r>
    </w:p>
    <w:p w14:paraId="28BA14F7" w14:textId="77777777" w:rsidR="00871611" w:rsidRPr="00083F1C" w:rsidRDefault="00871611" w:rsidP="00871611">
      <w:pPr>
        <w:ind w:firstLine="567"/>
        <w:jc w:val="both"/>
        <w:rPr>
          <w:rFonts w:ascii="Times New Roman" w:hAnsi="Times New Roman"/>
        </w:rPr>
      </w:pPr>
      <w:r w:rsidRPr="00083F1C">
        <w:rPr>
          <w:rFonts w:ascii="Times New Roman" w:hAnsi="Times New Roman"/>
          <w:i/>
          <w:iCs/>
          <w:sz w:val="24"/>
          <w:szCs w:val="24"/>
        </w:rPr>
        <w:t>Загальний опис об’єкта (опис виробництв та технологічного устаткування):</w:t>
      </w:r>
      <w:r w:rsidRPr="00083F1C">
        <w:rPr>
          <w:rFonts w:ascii="Times New Roman" w:hAnsi="Times New Roman"/>
          <w:sz w:val="24"/>
          <w:szCs w:val="24"/>
        </w:rPr>
        <w:t xml:space="preserve"> </w:t>
      </w:r>
    </w:p>
    <w:p w14:paraId="05C32193" w14:textId="77777777" w:rsidR="00871611" w:rsidRDefault="00871611" w:rsidP="0087161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34E4E">
        <w:rPr>
          <w:rFonts w:ascii="Times New Roman" w:eastAsia="Calibri" w:hAnsi="Times New Roman"/>
          <w:sz w:val="24"/>
          <w:szCs w:val="24"/>
          <w:lang w:eastAsia="en-US"/>
        </w:rPr>
        <w:t xml:space="preserve">На промисловому майданчику підприємства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ТОВ «ЦЕМБУДСЕРВІС» </w:t>
      </w:r>
      <w:r w:rsidRPr="00F34E4E">
        <w:rPr>
          <w:rFonts w:ascii="Times New Roman" w:eastAsia="Calibri" w:hAnsi="Times New Roman"/>
          <w:sz w:val="24"/>
          <w:szCs w:val="24"/>
          <w:lang w:eastAsia="en-US"/>
        </w:rPr>
        <w:t xml:space="preserve">знаходиться </w:t>
      </w:r>
      <w:r>
        <w:rPr>
          <w:rFonts w:ascii="Times New Roman" w:eastAsia="Calibri" w:hAnsi="Times New Roman"/>
          <w:sz w:val="24"/>
          <w:szCs w:val="24"/>
          <w:lang w:eastAsia="en-US"/>
        </w:rPr>
        <w:t>об’єкт по</w:t>
      </w:r>
      <w:r w:rsidRPr="00F34E4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34E4E">
        <w:rPr>
          <w:rFonts w:ascii="Times New Roman" w:hAnsi="Times New Roman"/>
          <w:sz w:val="24"/>
          <w:szCs w:val="24"/>
        </w:rPr>
        <w:t>виро</w:t>
      </w:r>
      <w:r>
        <w:rPr>
          <w:rFonts w:ascii="Times New Roman" w:hAnsi="Times New Roman"/>
          <w:sz w:val="24"/>
          <w:szCs w:val="24"/>
        </w:rPr>
        <w:t>бництву</w:t>
      </w:r>
      <w:r w:rsidRPr="00F34E4E">
        <w:rPr>
          <w:rFonts w:ascii="Times New Roman" w:hAnsi="Times New Roman"/>
          <w:sz w:val="24"/>
          <w:szCs w:val="24"/>
        </w:rPr>
        <w:t xml:space="preserve"> </w:t>
      </w:r>
      <w:r w:rsidRPr="00517A05">
        <w:rPr>
          <w:rFonts w:ascii="Times New Roman" w:hAnsi="Times New Roman"/>
          <w:sz w:val="24"/>
          <w:szCs w:val="24"/>
        </w:rPr>
        <w:t>будівельних матеріалів</w:t>
      </w:r>
      <w:r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Pr="00F34E4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17A05">
        <w:rPr>
          <w:rFonts w:ascii="Times New Roman" w:hAnsi="Times New Roman"/>
          <w:sz w:val="24"/>
          <w:szCs w:val="24"/>
        </w:rPr>
        <w:t>портландцементу та шлакопортландцементу згідно з ДСТУ Б В.2.7-46:2010, порошків мінеральних для асфальтобетонних сумішей згідно з ДСТУ 9246-1:2023, шлаку меленого гранульованого доменного згідно з ДСТУ Б В.2.7-302:2014.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7A05">
        <w:rPr>
          <w:rFonts w:ascii="Times New Roman" w:hAnsi="Times New Roman"/>
          <w:sz w:val="24"/>
          <w:szCs w:val="24"/>
        </w:rPr>
        <w:t xml:space="preserve">Проектна потужність </w:t>
      </w:r>
      <w:r>
        <w:rPr>
          <w:rFonts w:ascii="Times New Roman" w:hAnsi="Times New Roman"/>
          <w:sz w:val="24"/>
          <w:szCs w:val="24"/>
        </w:rPr>
        <w:t xml:space="preserve">проммайданчика </w:t>
      </w:r>
      <w:r w:rsidRPr="00517A05">
        <w:rPr>
          <w:rFonts w:ascii="Times New Roman" w:hAnsi="Times New Roman"/>
          <w:sz w:val="24"/>
          <w:szCs w:val="24"/>
        </w:rPr>
        <w:t>ТОВ</w:t>
      </w:r>
      <w:r>
        <w:rPr>
          <w:rFonts w:ascii="Times New Roman" w:hAnsi="Times New Roman"/>
          <w:sz w:val="24"/>
          <w:szCs w:val="24"/>
        </w:rPr>
        <w:t> </w:t>
      </w:r>
      <w:r w:rsidRPr="00517A05">
        <w:rPr>
          <w:rFonts w:ascii="Times New Roman" w:hAnsi="Times New Roman"/>
          <w:sz w:val="24"/>
          <w:szCs w:val="24"/>
        </w:rPr>
        <w:t>«ЦЕМБУДСЕРВІС» становить 138240</w:t>
      </w:r>
      <w:r>
        <w:rPr>
          <w:rFonts w:ascii="Times New Roman" w:hAnsi="Times New Roman"/>
          <w:sz w:val="24"/>
          <w:szCs w:val="24"/>
        </w:rPr>
        <w:t> </w:t>
      </w:r>
      <w:r w:rsidRPr="00517A05">
        <w:rPr>
          <w:rFonts w:ascii="Times New Roman" w:hAnsi="Times New Roman"/>
          <w:sz w:val="24"/>
          <w:szCs w:val="24"/>
        </w:rPr>
        <w:t>т/рік продукції.</w:t>
      </w:r>
    </w:p>
    <w:p w14:paraId="29EBAFB6" w14:textId="77777777" w:rsidR="00871611" w:rsidRDefault="00871611" w:rsidP="00871611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E0C6A">
        <w:rPr>
          <w:rFonts w:ascii="Times New Roman" w:hAnsi="Times New Roman"/>
          <w:sz w:val="24"/>
          <w:szCs w:val="24"/>
        </w:rPr>
        <w:t xml:space="preserve">остачання сировини на підприємство </w:t>
      </w:r>
      <w:r>
        <w:rPr>
          <w:rFonts w:ascii="Times New Roman" w:hAnsi="Times New Roman"/>
          <w:sz w:val="24"/>
          <w:szCs w:val="24"/>
        </w:rPr>
        <w:t xml:space="preserve">здійснюється </w:t>
      </w:r>
      <w:r w:rsidRPr="008E0C6A">
        <w:rPr>
          <w:rFonts w:ascii="Times New Roman" w:hAnsi="Times New Roman"/>
          <w:sz w:val="24"/>
          <w:szCs w:val="24"/>
        </w:rPr>
        <w:t>автомобільним самоскидним транспортом або залізничними напіввагонами.</w:t>
      </w:r>
      <w:r w:rsidRPr="00517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Сировина подається на дільницю вивантаження та складування сипких фракцій сировинних матеріалів. </w:t>
      </w:r>
      <w:r w:rsidRPr="008E0C6A">
        <w:rPr>
          <w:rFonts w:ascii="Times New Roman" w:hAnsi="Times New Roman"/>
          <w:color w:val="000000"/>
          <w:sz w:val="24"/>
          <w:szCs w:val="24"/>
        </w:rPr>
        <w:t xml:space="preserve">Цемент із хоперів вивантажується у силос № 1 місткістю 450 т. </w:t>
      </w:r>
      <w:r w:rsidRPr="008E0C6A">
        <w:rPr>
          <w:rFonts w:ascii="Times New Roman" w:hAnsi="Times New Roman"/>
          <w:sz w:val="24"/>
          <w:szCs w:val="24"/>
        </w:rPr>
        <w:t xml:space="preserve">Для вивантаження і зберігання </w:t>
      </w:r>
      <w:r>
        <w:rPr>
          <w:rFonts w:ascii="Times New Roman" w:hAnsi="Times New Roman"/>
          <w:sz w:val="24"/>
          <w:szCs w:val="24"/>
        </w:rPr>
        <w:t>інших</w:t>
      </w:r>
      <w:r w:rsidRPr="008E0C6A">
        <w:rPr>
          <w:rFonts w:ascii="Times New Roman" w:hAnsi="Times New Roman"/>
          <w:sz w:val="24"/>
          <w:szCs w:val="24"/>
        </w:rPr>
        <w:t xml:space="preserve"> видів сировини облаштовані склад доменного гранульованого шлаку</w:t>
      </w:r>
      <w:r>
        <w:rPr>
          <w:rFonts w:ascii="Times New Roman" w:hAnsi="Times New Roman"/>
          <w:sz w:val="24"/>
          <w:szCs w:val="24"/>
        </w:rPr>
        <w:t>,</w:t>
      </w:r>
      <w:r w:rsidRPr="008E0C6A">
        <w:rPr>
          <w:rFonts w:ascii="Times New Roman" w:hAnsi="Times New Roman"/>
          <w:sz w:val="24"/>
          <w:szCs w:val="24"/>
        </w:rPr>
        <w:t xml:space="preserve"> склад вапняку № 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E0C6A">
        <w:rPr>
          <w:rFonts w:ascii="Times New Roman" w:hAnsi="Times New Roman"/>
          <w:sz w:val="24"/>
          <w:szCs w:val="24"/>
        </w:rPr>
        <w:t xml:space="preserve">склад вапняку № </w:t>
      </w:r>
      <w:r>
        <w:rPr>
          <w:rFonts w:ascii="Times New Roman" w:hAnsi="Times New Roman"/>
          <w:sz w:val="24"/>
          <w:szCs w:val="24"/>
        </w:rPr>
        <w:t xml:space="preserve">2, основний </w:t>
      </w:r>
      <w:r w:rsidRPr="008E0C6A">
        <w:rPr>
          <w:rFonts w:ascii="Times New Roman" w:hAnsi="Times New Roman"/>
          <w:sz w:val="24"/>
          <w:szCs w:val="24"/>
        </w:rPr>
        <w:t>склад доменного гранульованого шлаку</w:t>
      </w:r>
      <w:r>
        <w:rPr>
          <w:rFonts w:ascii="Times New Roman" w:hAnsi="Times New Roman"/>
          <w:sz w:val="24"/>
          <w:szCs w:val="24"/>
        </w:rPr>
        <w:t>.</w:t>
      </w:r>
    </w:p>
    <w:p w14:paraId="51C0B282" w14:textId="77777777" w:rsidR="00871611" w:rsidRPr="00517A05" w:rsidRDefault="00871611" w:rsidP="0087161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E0C6A">
        <w:rPr>
          <w:rFonts w:ascii="Times New Roman" w:hAnsi="Times New Roman"/>
          <w:sz w:val="24"/>
          <w:szCs w:val="24"/>
        </w:rPr>
        <w:t xml:space="preserve">В цеху </w:t>
      </w:r>
      <w:r>
        <w:rPr>
          <w:rFonts w:ascii="Times New Roman" w:hAnsi="Times New Roman"/>
          <w:sz w:val="24"/>
          <w:szCs w:val="24"/>
        </w:rPr>
        <w:t xml:space="preserve">з виробництва продукції </w:t>
      </w:r>
      <w:r w:rsidRPr="008E0C6A">
        <w:rPr>
          <w:rFonts w:ascii="Times New Roman" w:hAnsi="Times New Roman"/>
          <w:sz w:val="24"/>
          <w:szCs w:val="24"/>
        </w:rPr>
        <w:t>встановлено дві технологічні лінії з виробництва продукції. Обидві лінії аналогічні за складом</w:t>
      </w:r>
      <w:r>
        <w:rPr>
          <w:rFonts w:ascii="Times New Roman" w:hAnsi="Times New Roman"/>
          <w:sz w:val="24"/>
          <w:szCs w:val="24"/>
        </w:rPr>
        <w:t>,</w:t>
      </w:r>
      <w:r w:rsidRPr="008E0C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кожна </w:t>
      </w:r>
      <w:r w:rsidRPr="008E0C6A">
        <w:rPr>
          <w:rFonts w:ascii="Times New Roman" w:hAnsi="Times New Roman"/>
          <w:sz w:val="24"/>
          <w:szCs w:val="24"/>
        </w:rPr>
        <w:t>склада</w:t>
      </w:r>
      <w:r>
        <w:rPr>
          <w:rFonts w:ascii="Times New Roman" w:hAnsi="Times New Roman"/>
          <w:sz w:val="24"/>
          <w:szCs w:val="24"/>
        </w:rPr>
        <w:t>є</w:t>
      </w:r>
      <w:r w:rsidRPr="008E0C6A">
        <w:rPr>
          <w:rFonts w:ascii="Times New Roman" w:hAnsi="Times New Roman"/>
          <w:sz w:val="24"/>
          <w:szCs w:val="24"/>
        </w:rPr>
        <w:t>ться з наступних вузлів та агрегатів</w:t>
      </w:r>
      <w:r>
        <w:rPr>
          <w:rFonts w:ascii="Times New Roman" w:hAnsi="Times New Roman"/>
          <w:sz w:val="24"/>
          <w:szCs w:val="24"/>
        </w:rPr>
        <w:t xml:space="preserve">: приймальний бункер, дозатор, сушильний обертовий барабан із газовим пальником, кульовий млин, силос зберігання сухого матеріалу, транспортна система для переміщення сировини і продукції. </w:t>
      </w:r>
    </w:p>
    <w:p w14:paraId="398B6566" w14:textId="77777777" w:rsidR="00871611" w:rsidRPr="008E0C6A" w:rsidRDefault="00871611" w:rsidP="0087161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E0C6A">
        <w:rPr>
          <w:rFonts w:ascii="Times New Roman" w:hAnsi="Times New Roman"/>
          <w:sz w:val="24"/>
          <w:szCs w:val="24"/>
        </w:rPr>
        <w:t>Для зберігання готової продукції використовуються 6 силосів</w:t>
      </w:r>
      <w:r>
        <w:rPr>
          <w:rFonts w:ascii="Times New Roman" w:hAnsi="Times New Roman"/>
          <w:sz w:val="24"/>
          <w:szCs w:val="24"/>
        </w:rPr>
        <w:t xml:space="preserve"> (чотири </w:t>
      </w:r>
      <w:r w:rsidRPr="008E0C6A">
        <w:rPr>
          <w:rFonts w:ascii="Times New Roman" w:hAnsi="Times New Roman"/>
          <w:spacing w:val="-6"/>
          <w:sz w:val="24"/>
          <w:szCs w:val="24"/>
          <w:lang w:eastAsia="uk-UA" w:bidi="uk-UA"/>
        </w:rPr>
        <w:t>місткіст</w:t>
      </w:r>
      <w:r>
        <w:rPr>
          <w:rFonts w:ascii="Times New Roman" w:hAnsi="Times New Roman"/>
          <w:spacing w:val="-6"/>
          <w:sz w:val="24"/>
          <w:szCs w:val="24"/>
          <w:lang w:eastAsia="uk-UA" w:bidi="uk-UA"/>
        </w:rPr>
        <w:t>ю</w:t>
      </w:r>
      <w:r w:rsidRPr="008E0C6A">
        <w:rPr>
          <w:rFonts w:ascii="Times New Roman" w:hAnsi="Times New Roman"/>
          <w:spacing w:val="-6"/>
          <w:sz w:val="24"/>
          <w:szCs w:val="24"/>
          <w:lang w:eastAsia="uk-UA" w:bidi="uk-UA"/>
        </w:rPr>
        <w:t xml:space="preserve"> по 450</w:t>
      </w:r>
      <w:r>
        <w:rPr>
          <w:rFonts w:ascii="Times New Roman" w:hAnsi="Times New Roman"/>
          <w:spacing w:val="-6"/>
          <w:sz w:val="24"/>
          <w:szCs w:val="24"/>
          <w:lang w:eastAsia="uk-UA" w:bidi="uk-UA"/>
        </w:rPr>
        <w:t> </w:t>
      </w:r>
      <w:r w:rsidRPr="008E0C6A">
        <w:rPr>
          <w:rFonts w:ascii="Times New Roman" w:hAnsi="Times New Roman"/>
          <w:spacing w:val="-6"/>
          <w:sz w:val="24"/>
          <w:szCs w:val="24"/>
          <w:lang w:eastAsia="uk-UA" w:bidi="uk-UA"/>
        </w:rPr>
        <w:t>т кожен</w:t>
      </w:r>
      <w:r>
        <w:rPr>
          <w:rFonts w:ascii="Times New Roman" w:hAnsi="Times New Roman"/>
          <w:spacing w:val="-6"/>
          <w:sz w:val="24"/>
          <w:szCs w:val="24"/>
          <w:lang w:eastAsia="uk-UA" w:bidi="uk-UA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два </w:t>
      </w:r>
      <w:r w:rsidRPr="008E0C6A">
        <w:rPr>
          <w:rFonts w:ascii="Times New Roman" w:hAnsi="Times New Roman"/>
          <w:spacing w:val="-6"/>
          <w:sz w:val="24"/>
          <w:szCs w:val="24"/>
          <w:lang w:eastAsia="uk-UA" w:bidi="uk-UA"/>
        </w:rPr>
        <w:t>місткіст</w:t>
      </w:r>
      <w:r>
        <w:rPr>
          <w:rFonts w:ascii="Times New Roman" w:hAnsi="Times New Roman"/>
          <w:spacing w:val="-6"/>
          <w:sz w:val="24"/>
          <w:szCs w:val="24"/>
          <w:lang w:eastAsia="uk-UA" w:bidi="uk-UA"/>
        </w:rPr>
        <w:t>ю</w:t>
      </w:r>
      <w:r w:rsidRPr="008E0C6A">
        <w:rPr>
          <w:rFonts w:ascii="Times New Roman" w:hAnsi="Times New Roman"/>
          <w:spacing w:val="-6"/>
          <w:sz w:val="24"/>
          <w:szCs w:val="24"/>
          <w:lang w:eastAsia="uk-UA" w:bidi="uk-UA"/>
        </w:rPr>
        <w:t xml:space="preserve"> по 50</w:t>
      </w:r>
      <w:r>
        <w:rPr>
          <w:rFonts w:ascii="Times New Roman" w:hAnsi="Times New Roman"/>
          <w:spacing w:val="-6"/>
          <w:sz w:val="24"/>
          <w:szCs w:val="24"/>
          <w:lang w:eastAsia="uk-UA" w:bidi="uk-UA"/>
        </w:rPr>
        <w:t xml:space="preserve"> </w:t>
      </w:r>
      <w:r w:rsidRPr="008E0C6A">
        <w:rPr>
          <w:rFonts w:ascii="Times New Roman" w:hAnsi="Times New Roman"/>
          <w:spacing w:val="-6"/>
          <w:sz w:val="24"/>
          <w:szCs w:val="24"/>
          <w:lang w:eastAsia="uk-UA" w:bidi="uk-UA"/>
        </w:rPr>
        <w:t>т кожен</w:t>
      </w:r>
      <w:r>
        <w:rPr>
          <w:rFonts w:ascii="Times New Roman" w:hAnsi="Times New Roman"/>
          <w:spacing w:val="-6"/>
          <w:sz w:val="24"/>
          <w:szCs w:val="24"/>
          <w:lang w:eastAsia="uk-UA" w:bidi="uk-UA"/>
        </w:rPr>
        <w:t>)</w:t>
      </w:r>
      <w:r w:rsidRPr="008E0C6A">
        <w:rPr>
          <w:rFonts w:ascii="Times New Roman" w:hAnsi="Times New Roman"/>
          <w:sz w:val="24"/>
          <w:szCs w:val="24"/>
        </w:rPr>
        <w:t>.</w:t>
      </w:r>
      <w:r w:rsidRPr="00281FC0">
        <w:rPr>
          <w:rFonts w:ascii="Times New Roman" w:hAnsi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/>
          <w:kern w:val="28"/>
          <w:sz w:val="24"/>
          <w:szCs w:val="24"/>
        </w:rPr>
        <w:t xml:space="preserve">Для </w:t>
      </w:r>
      <w:r w:rsidRPr="008E0C6A">
        <w:rPr>
          <w:rFonts w:ascii="Times New Roman" w:hAnsi="Times New Roman"/>
          <w:kern w:val="28"/>
          <w:sz w:val="24"/>
          <w:szCs w:val="24"/>
        </w:rPr>
        <w:t>вивантаження готової продукції до автотранспорту</w:t>
      </w:r>
      <w:r>
        <w:rPr>
          <w:rFonts w:ascii="Times New Roman" w:hAnsi="Times New Roman"/>
          <w:kern w:val="28"/>
          <w:sz w:val="24"/>
          <w:szCs w:val="24"/>
        </w:rPr>
        <w:t xml:space="preserve"> </w:t>
      </w:r>
      <w:r w:rsidRPr="008E0C6A">
        <w:rPr>
          <w:rFonts w:ascii="Times New Roman" w:hAnsi="Times New Roman"/>
          <w:kern w:val="28"/>
          <w:sz w:val="24"/>
          <w:szCs w:val="24"/>
        </w:rPr>
        <w:t>облаштовано три пункти</w:t>
      </w:r>
      <w:r>
        <w:rPr>
          <w:rFonts w:ascii="Times New Roman" w:hAnsi="Times New Roman"/>
          <w:kern w:val="28"/>
          <w:sz w:val="24"/>
          <w:szCs w:val="24"/>
        </w:rPr>
        <w:t>.</w:t>
      </w:r>
      <w:r w:rsidRPr="008E0C6A">
        <w:rPr>
          <w:rFonts w:ascii="Times New Roman" w:hAnsi="Times New Roman"/>
          <w:kern w:val="28"/>
          <w:sz w:val="24"/>
          <w:szCs w:val="24"/>
        </w:rPr>
        <w:t xml:space="preserve"> </w:t>
      </w:r>
    </w:p>
    <w:p w14:paraId="33BDD3F8" w14:textId="77777777" w:rsidR="00871611" w:rsidRPr="0091785C" w:rsidRDefault="00871611" w:rsidP="00871611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проммайданчику передбачено за потребою </w:t>
      </w:r>
      <w:r w:rsidRPr="008E0C6A">
        <w:rPr>
          <w:rFonts w:ascii="Times New Roman" w:hAnsi="Times New Roman"/>
          <w:sz w:val="24"/>
          <w:szCs w:val="24"/>
        </w:rPr>
        <w:t>фасування і пакування готового продукту у дрібну тару (паперові мішки).</w:t>
      </w:r>
      <w:r>
        <w:rPr>
          <w:rFonts w:ascii="Times New Roman" w:hAnsi="Times New Roman"/>
          <w:sz w:val="24"/>
          <w:szCs w:val="24"/>
        </w:rPr>
        <w:t xml:space="preserve"> Процес виконується н</w:t>
      </w:r>
      <w:r w:rsidRPr="0091785C">
        <w:rPr>
          <w:rFonts w:ascii="Times New Roman" w:hAnsi="Times New Roman"/>
          <w:sz w:val="24"/>
          <w:szCs w:val="24"/>
        </w:rPr>
        <w:t>а дільниці фасування та пакування готової продукції</w:t>
      </w:r>
      <w:r>
        <w:rPr>
          <w:rFonts w:ascii="Times New Roman" w:hAnsi="Times New Roman"/>
          <w:sz w:val="24"/>
          <w:szCs w:val="24"/>
        </w:rPr>
        <w:t>, де</w:t>
      </w:r>
      <w:r w:rsidRPr="0091785C">
        <w:rPr>
          <w:rFonts w:ascii="Times New Roman" w:hAnsi="Times New Roman"/>
          <w:sz w:val="24"/>
          <w:szCs w:val="24"/>
        </w:rPr>
        <w:t xml:space="preserve"> встановлено наступне технологічне обладнання: силос № 7 місткістю 100 т;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785C">
        <w:rPr>
          <w:rFonts w:ascii="Times New Roman" w:hAnsi="Times New Roman"/>
          <w:sz w:val="24"/>
          <w:szCs w:val="24"/>
        </w:rPr>
        <w:t>транспортувальна система потужністю 16 т/годину;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785C">
        <w:rPr>
          <w:rFonts w:ascii="Times New Roman" w:hAnsi="Times New Roman"/>
          <w:sz w:val="24"/>
          <w:szCs w:val="24"/>
        </w:rPr>
        <w:t>лінія фасування потужністю 16 т/годину;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785C">
        <w:rPr>
          <w:rFonts w:ascii="Times New Roman" w:hAnsi="Times New Roman"/>
          <w:sz w:val="24"/>
          <w:szCs w:val="24"/>
        </w:rPr>
        <w:t>автоматична пакувальна машина (палетайзер) потужністю 640</w:t>
      </w:r>
      <w:r>
        <w:rPr>
          <w:rFonts w:ascii="Times New Roman" w:hAnsi="Times New Roman"/>
          <w:sz w:val="24"/>
          <w:szCs w:val="24"/>
        </w:rPr>
        <w:t> </w:t>
      </w:r>
      <w:r w:rsidRPr="0091785C">
        <w:rPr>
          <w:rFonts w:ascii="Times New Roman" w:hAnsi="Times New Roman"/>
          <w:sz w:val="24"/>
          <w:szCs w:val="24"/>
        </w:rPr>
        <w:t>мішків на годину.</w:t>
      </w:r>
    </w:p>
    <w:p w14:paraId="1479A9BD" w14:textId="77777777" w:rsidR="00871611" w:rsidRPr="008E0C6A" w:rsidRDefault="00871611" w:rsidP="0087161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12DB7">
        <w:rPr>
          <w:rFonts w:ascii="Times New Roman" w:hAnsi="Times New Roman"/>
          <w:color w:val="000000"/>
          <w:sz w:val="24"/>
          <w:szCs w:val="24"/>
        </w:rPr>
        <w:t xml:space="preserve">Для проведення ремонтних робіт в </w:t>
      </w:r>
      <w:r>
        <w:rPr>
          <w:rFonts w:ascii="Times New Roman" w:hAnsi="Times New Roman"/>
          <w:color w:val="000000"/>
          <w:sz w:val="24"/>
          <w:szCs w:val="24"/>
        </w:rPr>
        <w:t xml:space="preserve">ремонтно-механічному </w:t>
      </w:r>
      <w:r w:rsidRPr="00C12DB7">
        <w:rPr>
          <w:rFonts w:ascii="Times New Roman" w:hAnsi="Times New Roman"/>
          <w:color w:val="000000"/>
          <w:sz w:val="24"/>
          <w:szCs w:val="24"/>
        </w:rPr>
        <w:t>цеху</w:t>
      </w:r>
      <w:r>
        <w:rPr>
          <w:rFonts w:ascii="Times New Roman" w:hAnsi="Times New Roman"/>
          <w:color w:val="000000"/>
          <w:sz w:val="24"/>
          <w:szCs w:val="24"/>
        </w:rPr>
        <w:t xml:space="preserve"> (РМЦ)</w:t>
      </w:r>
      <w:r w:rsidRPr="00C12DB7">
        <w:rPr>
          <w:rFonts w:ascii="Times New Roman" w:hAnsi="Times New Roman"/>
          <w:color w:val="000000"/>
          <w:sz w:val="24"/>
          <w:szCs w:val="24"/>
        </w:rPr>
        <w:t xml:space="preserve"> встановлено обладнання для механічної обробки металів: заточувальний </w:t>
      </w:r>
      <w:r>
        <w:rPr>
          <w:rFonts w:ascii="Times New Roman" w:hAnsi="Times New Roman"/>
          <w:color w:val="000000"/>
          <w:sz w:val="24"/>
          <w:szCs w:val="24"/>
        </w:rPr>
        <w:t xml:space="preserve">і </w:t>
      </w:r>
      <w:r w:rsidRPr="00C12DB7">
        <w:rPr>
          <w:rFonts w:ascii="Times New Roman" w:hAnsi="Times New Roman"/>
          <w:color w:val="000000"/>
          <w:sz w:val="24"/>
          <w:szCs w:val="24"/>
        </w:rPr>
        <w:t>свердлильний верстат</w:t>
      </w:r>
      <w:r>
        <w:rPr>
          <w:rFonts w:ascii="Times New Roman" w:hAnsi="Times New Roman"/>
          <w:color w:val="000000"/>
          <w:sz w:val="24"/>
          <w:szCs w:val="24"/>
        </w:rPr>
        <w:t xml:space="preserve">и. Зварювальні роботи виконуються на посту РЕДЗ. </w:t>
      </w:r>
      <w:r w:rsidRPr="00C12DB7">
        <w:rPr>
          <w:rFonts w:ascii="Times New Roman" w:hAnsi="Times New Roman"/>
          <w:color w:val="000000"/>
          <w:sz w:val="24"/>
          <w:szCs w:val="24"/>
        </w:rPr>
        <w:t xml:space="preserve">Для опалювання приміщення </w:t>
      </w:r>
      <w:r>
        <w:rPr>
          <w:rFonts w:ascii="Times New Roman" w:hAnsi="Times New Roman"/>
          <w:color w:val="000000"/>
          <w:sz w:val="24"/>
          <w:szCs w:val="24"/>
        </w:rPr>
        <w:t xml:space="preserve">РМЦ </w:t>
      </w:r>
      <w:r w:rsidRPr="00C12DB7">
        <w:rPr>
          <w:rFonts w:ascii="Times New Roman" w:hAnsi="Times New Roman"/>
          <w:color w:val="000000"/>
          <w:sz w:val="24"/>
          <w:szCs w:val="24"/>
        </w:rPr>
        <w:lastRenderedPageBreak/>
        <w:t xml:space="preserve">встановлено </w:t>
      </w:r>
      <w:r w:rsidRPr="00C12DB7">
        <w:rPr>
          <w:rFonts w:ascii="Times New Roman" w:hAnsi="Times New Roman"/>
          <w:sz w:val="24"/>
          <w:szCs w:val="24"/>
        </w:rPr>
        <w:t>котел твердопаливний типу «Буржуйка»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12DB7">
        <w:rPr>
          <w:rFonts w:ascii="Times New Roman" w:hAnsi="Times New Roman"/>
          <w:sz w:val="24"/>
          <w:szCs w:val="24"/>
        </w:rPr>
        <w:t>який працює на дровах</w:t>
      </w:r>
      <w:r>
        <w:rPr>
          <w:rFonts w:ascii="Times New Roman" w:hAnsi="Times New Roman"/>
          <w:sz w:val="24"/>
          <w:szCs w:val="24"/>
        </w:rPr>
        <w:t>. Т</w:t>
      </w:r>
      <w:r w:rsidRPr="00C12DB7">
        <w:rPr>
          <w:rFonts w:ascii="Times New Roman" w:hAnsi="Times New Roman"/>
          <w:sz w:val="24"/>
          <w:szCs w:val="24"/>
        </w:rPr>
        <w:t>епло</w:t>
      </w:r>
      <w:r>
        <w:rPr>
          <w:rFonts w:ascii="Times New Roman" w:hAnsi="Times New Roman"/>
          <w:sz w:val="24"/>
          <w:szCs w:val="24"/>
        </w:rPr>
        <w:t>ва</w:t>
      </w:r>
      <w:r w:rsidRPr="00C12DB7">
        <w:rPr>
          <w:rFonts w:ascii="Times New Roman" w:hAnsi="Times New Roman"/>
          <w:sz w:val="24"/>
          <w:szCs w:val="24"/>
        </w:rPr>
        <w:t xml:space="preserve"> потужніст</w:t>
      </w:r>
      <w:r>
        <w:rPr>
          <w:rFonts w:ascii="Times New Roman" w:hAnsi="Times New Roman"/>
          <w:sz w:val="24"/>
          <w:szCs w:val="24"/>
        </w:rPr>
        <w:t>ь</w:t>
      </w:r>
      <w:r w:rsidRPr="00C12D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котла становить </w:t>
      </w:r>
      <w:r w:rsidRPr="00C12DB7">
        <w:rPr>
          <w:rFonts w:ascii="Times New Roman" w:hAnsi="Times New Roman"/>
          <w:sz w:val="24"/>
          <w:szCs w:val="24"/>
        </w:rPr>
        <w:t>0,006 МВт</w:t>
      </w:r>
      <w:r>
        <w:rPr>
          <w:rFonts w:ascii="Times New Roman" w:hAnsi="Times New Roman"/>
          <w:sz w:val="24"/>
          <w:szCs w:val="24"/>
        </w:rPr>
        <w:t>; в</w:t>
      </w:r>
      <w:r w:rsidRPr="00C12DB7">
        <w:rPr>
          <w:rFonts w:ascii="Times New Roman" w:hAnsi="Times New Roman"/>
          <w:sz w:val="24"/>
          <w:szCs w:val="24"/>
        </w:rPr>
        <w:t>итрата палива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C12DB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2DB7">
        <w:rPr>
          <w:rFonts w:ascii="Times New Roman" w:hAnsi="Times New Roman"/>
          <w:sz w:val="24"/>
          <w:szCs w:val="24"/>
        </w:rPr>
        <w:t>т/рік.</w:t>
      </w:r>
    </w:p>
    <w:p w14:paraId="1A716691" w14:textId="77777777" w:rsidR="00871611" w:rsidRPr="00871611" w:rsidRDefault="00871611" w:rsidP="0087161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1611">
        <w:rPr>
          <w:rFonts w:ascii="Times New Roman" w:hAnsi="Times New Roman"/>
          <w:color w:val="000000"/>
          <w:sz w:val="24"/>
          <w:szCs w:val="24"/>
          <w:lang w:val="uk-UA"/>
        </w:rPr>
        <w:t>Для вхідного контролю якості сировини і визначення якості продукції в лабораторії встановлено сито.</w:t>
      </w:r>
    </w:p>
    <w:p w14:paraId="2130253F" w14:textId="5DA7DB1F" w:rsidR="00871611" w:rsidRPr="0064071B" w:rsidRDefault="00871611" w:rsidP="0064071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1611">
        <w:rPr>
          <w:rFonts w:ascii="Times New Roman" w:hAnsi="Times New Roman"/>
          <w:sz w:val="24"/>
          <w:szCs w:val="24"/>
          <w:lang w:val="uk-UA"/>
        </w:rPr>
        <w:t>Для зменшення забруднення атмосферного повітря речовинами у вигляді суспендованих твердих частинок на технологічному обладнанні встановлено наступне пилогазоочисне устаткування (ПГОУ):</w:t>
      </w:r>
      <w:r w:rsidR="0064071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71611">
        <w:rPr>
          <w:rFonts w:ascii="Times New Roman" w:hAnsi="Times New Roman"/>
          <w:sz w:val="24"/>
          <w:szCs w:val="24"/>
          <w:lang w:val="uk-UA"/>
        </w:rPr>
        <w:t>на сушильн</w:t>
      </w:r>
      <w:r w:rsidR="0064071B">
        <w:rPr>
          <w:rFonts w:ascii="Times New Roman" w:hAnsi="Times New Roman"/>
          <w:sz w:val="24"/>
          <w:szCs w:val="24"/>
          <w:lang w:val="uk-UA"/>
        </w:rPr>
        <w:t>их</w:t>
      </w:r>
      <w:r w:rsidRPr="00871611">
        <w:rPr>
          <w:rFonts w:ascii="Times New Roman" w:hAnsi="Times New Roman"/>
          <w:sz w:val="24"/>
          <w:szCs w:val="24"/>
          <w:lang w:val="uk-UA"/>
        </w:rPr>
        <w:t xml:space="preserve"> обертов</w:t>
      </w:r>
      <w:r w:rsidR="0064071B">
        <w:rPr>
          <w:rFonts w:ascii="Times New Roman" w:hAnsi="Times New Roman"/>
          <w:sz w:val="24"/>
          <w:szCs w:val="24"/>
          <w:lang w:val="uk-UA"/>
        </w:rPr>
        <w:t>их</w:t>
      </w:r>
      <w:r w:rsidRPr="00871611">
        <w:rPr>
          <w:rFonts w:ascii="Times New Roman" w:hAnsi="Times New Roman"/>
          <w:sz w:val="24"/>
          <w:szCs w:val="24"/>
          <w:lang w:val="uk-UA"/>
        </w:rPr>
        <w:t xml:space="preserve"> барабан</w:t>
      </w:r>
      <w:r w:rsidR="0064071B">
        <w:rPr>
          <w:rFonts w:ascii="Times New Roman" w:hAnsi="Times New Roman"/>
          <w:sz w:val="24"/>
          <w:szCs w:val="24"/>
          <w:lang w:val="uk-UA"/>
        </w:rPr>
        <w:t>ах</w:t>
      </w:r>
      <w:r w:rsidRPr="00871611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871611">
        <w:rPr>
          <w:rFonts w:ascii="Times New Roman" w:hAnsi="Times New Roman"/>
          <w:bCs/>
          <w:sz w:val="24"/>
          <w:szCs w:val="24"/>
          <w:lang w:val="uk-UA"/>
        </w:rPr>
        <w:t>І ступінь – батарейний циклон; ІІ</w:t>
      </w:r>
      <w:r w:rsidR="0064071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71611">
        <w:rPr>
          <w:rFonts w:ascii="Times New Roman" w:hAnsi="Times New Roman"/>
          <w:bCs/>
          <w:sz w:val="24"/>
          <w:szCs w:val="24"/>
          <w:lang w:val="uk-UA"/>
        </w:rPr>
        <w:t>ступінь – рукавний фільтр</w:t>
      </w:r>
      <w:r w:rsidR="0064071B">
        <w:rPr>
          <w:rFonts w:ascii="Times New Roman" w:hAnsi="Times New Roman"/>
          <w:bCs/>
          <w:sz w:val="24"/>
          <w:szCs w:val="24"/>
          <w:lang w:val="uk-UA"/>
        </w:rPr>
        <w:t>; на</w:t>
      </w:r>
      <w:r w:rsidRPr="0064071B">
        <w:rPr>
          <w:rFonts w:ascii="Times New Roman" w:hAnsi="Times New Roman"/>
          <w:sz w:val="24"/>
          <w:szCs w:val="24"/>
          <w:lang w:val="uk-UA"/>
        </w:rPr>
        <w:t xml:space="preserve"> млин</w:t>
      </w:r>
      <w:r w:rsidR="0064071B">
        <w:rPr>
          <w:rFonts w:ascii="Times New Roman" w:hAnsi="Times New Roman"/>
          <w:sz w:val="24"/>
          <w:szCs w:val="24"/>
          <w:lang w:val="uk-UA"/>
        </w:rPr>
        <w:t xml:space="preserve">ах, </w:t>
      </w:r>
      <w:r w:rsidRPr="0064071B">
        <w:rPr>
          <w:rFonts w:ascii="Times New Roman" w:hAnsi="Times New Roman"/>
          <w:sz w:val="24"/>
          <w:szCs w:val="24"/>
          <w:lang w:val="uk-UA"/>
        </w:rPr>
        <w:t>силос</w:t>
      </w:r>
      <w:r w:rsidR="0064071B">
        <w:rPr>
          <w:rFonts w:ascii="Times New Roman" w:hAnsi="Times New Roman"/>
          <w:sz w:val="24"/>
          <w:szCs w:val="24"/>
          <w:lang w:val="uk-UA"/>
        </w:rPr>
        <w:t xml:space="preserve">ах, </w:t>
      </w:r>
      <w:r w:rsidRPr="0064071B">
        <w:rPr>
          <w:rFonts w:ascii="Times New Roman" w:hAnsi="Times New Roman"/>
          <w:sz w:val="24"/>
          <w:szCs w:val="24"/>
          <w:lang w:val="uk-UA"/>
        </w:rPr>
        <w:t xml:space="preserve">лінії фасування </w:t>
      </w:r>
      <w:r w:rsidR="0064071B" w:rsidRPr="00871611">
        <w:rPr>
          <w:rFonts w:ascii="Times New Roman" w:hAnsi="Times New Roman"/>
          <w:bCs/>
          <w:sz w:val="24"/>
          <w:szCs w:val="24"/>
          <w:lang w:val="uk-UA"/>
        </w:rPr>
        <w:t>–</w:t>
      </w:r>
      <w:r w:rsidRPr="0064071B">
        <w:rPr>
          <w:rFonts w:ascii="Times New Roman" w:hAnsi="Times New Roman"/>
          <w:sz w:val="24"/>
          <w:szCs w:val="24"/>
          <w:lang w:val="uk-UA"/>
        </w:rPr>
        <w:t>рукавні фільтри</w:t>
      </w:r>
      <w:r w:rsidR="0064071B">
        <w:rPr>
          <w:rFonts w:ascii="Times New Roman" w:hAnsi="Times New Roman"/>
          <w:sz w:val="24"/>
          <w:szCs w:val="24"/>
          <w:lang w:val="uk-UA"/>
        </w:rPr>
        <w:t>, які</w:t>
      </w:r>
      <w:r w:rsidRPr="0064071B">
        <w:rPr>
          <w:rFonts w:ascii="Times New Roman" w:hAnsi="Times New Roman"/>
          <w:sz w:val="24"/>
          <w:szCs w:val="24"/>
          <w:lang w:val="uk-UA"/>
        </w:rPr>
        <w:t xml:space="preserve"> очищуються (регенеруються) за рахунок пневматичного удару імпульсом стисненого повітря</w:t>
      </w:r>
      <w:r w:rsidR="0064071B">
        <w:rPr>
          <w:rFonts w:ascii="Times New Roman" w:hAnsi="Times New Roman"/>
          <w:sz w:val="24"/>
          <w:szCs w:val="24"/>
          <w:lang w:val="uk-UA"/>
        </w:rPr>
        <w:t>.</w:t>
      </w:r>
    </w:p>
    <w:p w14:paraId="4F11A6F8" w14:textId="77777777" w:rsidR="00871611" w:rsidRPr="007333ED" w:rsidRDefault="00871611" w:rsidP="0087161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871611">
        <w:rPr>
          <w:lang w:val="uk-UA"/>
        </w:rPr>
        <w:t xml:space="preserve">На промисловому майданчику наявні 49 джерел викидів забруднюючих речовин, з </w:t>
      </w:r>
      <w:r w:rsidRPr="007333ED">
        <w:rPr>
          <w:lang w:val="uk-UA"/>
        </w:rPr>
        <w:t>них організованих – 1</w:t>
      </w:r>
      <w:r>
        <w:rPr>
          <w:lang w:val="uk-UA"/>
        </w:rPr>
        <w:t>8</w:t>
      </w:r>
      <w:r w:rsidRPr="007333ED">
        <w:rPr>
          <w:lang w:val="uk-UA"/>
        </w:rPr>
        <w:t xml:space="preserve">, неорганізованих – </w:t>
      </w:r>
      <w:r>
        <w:rPr>
          <w:lang w:val="uk-UA"/>
        </w:rPr>
        <w:t>29</w:t>
      </w:r>
      <w:r w:rsidRPr="007333ED">
        <w:rPr>
          <w:lang w:val="uk-UA"/>
        </w:rPr>
        <w:t xml:space="preserve">, пересувних – </w:t>
      </w:r>
      <w:r>
        <w:rPr>
          <w:lang w:val="uk-UA"/>
        </w:rPr>
        <w:t>2</w:t>
      </w:r>
      <w:r w:rsidRPr="007333ED">
        <w:rPr>
          <w:lang w:val="uk-UA"/>
        </w:rPr>
        <w:t>.</w:t>
      </w:r>
    </w:p>
    <w:p w14:paraId="733F6410" w14:textId="77777777" w:rsidR="00871611" w:rsidRPr="007333ED" w:rsidRDefault="00871611" w:rsidP="0087161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2D6CA5">
        <w:rPr>
          <w:i/>
          <w:iCs/>
          <w:lang w:val="uk-UA"/>
        </w:rPr>
        <w:t>Відомості щодо видів та обсягів викидів:</w:t>
      </w:r>
      <w:r w:rsidRPr="002D6CA5">
        <w:rPr>
          <w:lang w:val="uk-UA"/>
        </w:rPr>
        <w:t xml:space="preserve"> залізо та його сполуки (у перерахунку на залізо) – 0,003 т/рік; ртуть та її сполуки (у перерахунку на ртуть) – </w:t>
      </w:r>
      <w:r w:rsidRPr="002D6CA5">
        <w:rPr>
          <w:bCs/>
          <w:lang w:val="uk-UA"/>
        </w:rPr>
        <w:t>0,0000059</w:t>
      </w:r>
      <w:r w:rsidRPr="002D6CA5">
        <w:rPr>
          <w:lang w:val="uk-UA"/>
        </w:rPr>
        <w:t xml:space="preserve"> т/рік; </w:t>
      </w:r>
      <w:r w:rsidRPr="002D6CA5">
        <w:rPr>
          <w:rFonts w:hint="eastAsia"/>
          <w:lang w:val="uk-UA"/>
        </w:rPr>
        <w:t>манган</w:t>
      </w:r>
      <w:r w:rsidRPr="002D6CA5">
        <w:rPr>
          <w:lang w:val="uk-UA"/>
        </w:rPr>
        <w:t xml:space="preserve"> </w:t>
      </w:r>
      <w:r w:rsidRPr="002D6CA5">
        <w:rPr>
          <w:rFonts w:hint="eastAsia"/>
          <w:lang w:val="uk-UA"/>
        </w:rPr>
        <w:t>та</w:t>
      </w:r>
      <w:r w:rsidRPr="002D6CA5">
        <w:rPr>
          <w:lang w:val="uk-UA"/>
        </w:rPr>
        <w:t xml:space="preserve"> </w:t>
      </w:r>
      <w:r w:rsidRPr="002D6CA5">
        <w:rPr>
          <w:rFonts w:hint="eastAsia"/>
          <w:lang w:val="uk-UA"/>
        </w:rPr>
        <w:t>його</w:t>
      </w:r>
      <w:r w:rsidRPr="002D6CA5">
        <w:rPr>
          <w:lang w:val="uk-UA"/>
        </w:rPr>
        <w:t xml:space="preserve"> </w:t>
      </w:r>
      <w:r w:rsidRPr="002D6CA5">
        <w:rPr>
          <w:rFonts w:hint="eastAsia"/>
          <w:lang w:val="uk-UA"/>
        </w:rPr>
        <w:t>сполуки</w:t>
      </w:r>
      <w:r w:rsidRPr="002D6CA5">
        <w:rPr>
          <w:lang w:val="uk-UA"/>
        </w:rPr>
        <w:t xml:space="preserve"> (</w:t>
      </w:r>
      <w:r w:rsidRPr="002D6CA5">
        <w:rPr>
          <w:rFonts w:hint="eastAsia"/>
          <w:lang w:val="uk-UA"/>
        </w:rPr>
        <w:t>у</w:t>
      </w:r>
      <w:r w:rsidRPr="002D6CA5">
        <w:rPr>
          <w:lang w:val="uk-UA"/>
        </w:rPr>
        <w:t xml:space="preserve"> </w:t>
      </w:r>
      <w:r w:rsidRPr="002D6CA5">
        <w:rPr>
          <w:rFonts w:hint="eastAsia"/>
          <w:lang w:val="uk-UA"/>
        </w:rPr>
        <w:t>перерахунку</w:t>
      </w:r>
      <w:r w:rsidRPr="002D6CA5">
        <w:rPr>
          <w:lang w:val="uk-UA"/>
        </w:rPr>
        <w:t xml:space="preserve"> </w:t>
      </w:r>
      <w:r w:rsidRPr="002D6CA5">
        <w:rPr>
          <w:rFonts w:hint="eastAsia"/>
          <w:lang w:val="uk-UA"/>
        </w:rPr>
        <w:t>на</w:t>
      </w:r>
      <w:r w:rsidRPr="002D6CA5">
        <w:rPr>
          <w:lang w:val="uk-UA"/>
        </w:rPr>
        <w:t xml:space="preserve"> </w:t>
      </w:r>
      <w:r w:rsidRPr="002D6CA5">
        <w:rPr>
          <w:rFonts w:hint="eastAsia"/>
          <w:lang w:val="uk-UA"/>
        </w:rPr>
        <w:t>діоксид</w:t>
      </w:r>
      <w:r w:rsidRPr="002D6CA5">
        <w:rPr>
          <w:lang w:val="uk-UA"/>
        </w:rPr>
        <w:t xml:space="preserve"> </w:t>
      </w:r>
      <w:r w:rsidRPr="002D6CA5">
        <w:rPr>
          <w:rFonts w:hint="eastAsia"/>
          <w:lang w:val="uk-UA"/>
        </w:rPr>
        <w:t>мангану</w:t>
      </w:r>
      <w:r w:rsidRPr="002D6CA5">
        <w:rPr>
          <w:lang w:val="uk-UA"/>
        </w:rPr>
        <w:t>) – 0,0003 т/рік; речовини у вигляді суспендованих твердих частинок (мікрочастинки та волокна) – 22,850538 т/рік; оксиди азоту (у перерахунку на діоксид азоту [NO + NO</w:t>
      </w:r>
      <w:r w:rsidRPr="002D6CA5">
        <w:rPr>
          <w:vertAlign w:val="subscript"/>
          <w:lang w:val="uk-UA"/>
        </w:rPr>
        <w:t>2</w:t>
      </w:r>
      <w:r w:rsidRPr="002D6CA5">
        <w:rPr>
          <w:lang w:val="uk-UA"/>
        </w:rPr>
        <w:t>]) – 4,331 т/рік; сірки діоксид – 0,018 т/рік; оксид вуглецю – 15,478 т/рік;</w:t>
      </w:r>
      <w:r>
        <w:rPr>
          <w:lang w:val="uk-UA"/>
        </w:rPr>
        <w:t xml:space="preserve"> НМЛОС – 0,002 т/рік;</w:t>
      </w:r>
      <w:r w:rsidRPr="002D6CA5">
        <w:rPr>
          <w:lang w:val="uk-UA"/>
        </w:rPr>
        <w:t xml:space="preserve"> вуглеводні насичені С12-С19 (розчинник РПК-26511 і ін.) у перерахунку на сумарний органічний вуглець – 0,037029 т/рік</w:t>
      </w:r>
      <w:r>
        <w:rPr>
          <w:lang w:val="uk-UA"/>
        </w:rPr>
        <w:t xml:space="preserve">; </w:t>
      </w:r>
      <w:r>
        <w:rPr>
          <w:rFonts w:hint="eastAsia"/>
          <w:lang w:val="uk-UA"/>
        </w:rPr>
        <w:t>м</w:t>
      </w:r>
      <w:r w:rsidRPr="002D6CA5">
        <w:rPr>
          <w:rFonts w:hint="eastAsia"/>
          <w:lang w:val="uk-UA"/>
        </w:rPr>
        <w:t>асло</w:t>
      </w:r>
      <w:r w:rsidRPr="002D6CA5">
        <w:rPr>
          <w:lang w:val="uk-UA"/>
        </w:rPr>
        <w:t xml:space="preserve"> </w:t>
      </w:r>
      <w:r w:rsidRPr="002D6CA5">
        <w:rPr>
          <w:rFonts w:hint="eastAsia"/>
          <w:lang w:val="uk-UA"/>
        </w:rPr>
        <w:t>мінеральне</w:t>
      </w:r>
      <w:r w:rsidRPr="002D6CA5">
        <w:rPr>
          <w:lang w:val="uk-UA"/>
        </w:rPr>
        <w:t xml:space="preserve"> </w:t>
      </w:r>
      <w:r w:rsidRPr="002D6CA5">
        <w:rPr>
          <w:rFonts w:hint="eastAsia"/>
          <w:lang w:val="uk-UA"/>
        </w:rPr>
        <w:t>нафтове</w:t>
      </w:r>
      <w:r w:rsidRPr="002D6CA5">
        <w:rPr>
          <w:lang w:val="uk-UA"/>
        </w:rPr>
        <w:t xml:space="preserve"> (</w:t>
      </w:r>
      <w:r w:rsidRPr="002D6CA5">
        <w:rPr>
          <w:rFonts w:hint="eastAsia"/>
          <w:lang w:val="uk-UA"/>
        </w:rPr>
        <w:t>веретенне</w:t>
      </w:r>
      <w:r w:rsidRPr="002D6CA5">
        <w:rPr>
          <w:lang w:val="uk-UA"/>
        </w:rPr>
        <w:t xml:space="preserve">, </w:t>
      </w:r>
      <w:r w:rsidRPr="002D6CA5">
        <w:rPr>
          <w:rFonts w:hint="eastAsia"/>
          <w:lang w:val="uk-UA"/>
        </w:rPr>
        <w:t>машинне</w:t>
      </w:r>
      <w:r w:rsidRPr="002D6CA5">
        <w:rPr>
          <w:lang w:val="uk-UA"/>
        </w:rPr>
        <w:t xml:space="preserve">, </w:t>
      </w:r>
      <w:r w:rsidRPr="002D6CA5">
        <w:rPr>
          <w:rFonts w:hint="eastAsia"/>
          <w:lang w:val="uk-UA"/>
        </w:rPr>
        <w:t>циліндрове</w:t>
      </w:r>
      <w:r w:rsidRPr="002D6CA5">
        <w:rPr>
          <w:lang w:val="uk-UA"/>
        </w:rPr>
        <w:t xml:space="preserve"> </w:t>
      </w:r>
      <w:r w:rsidRPr="002D6CA5">
        <w:rPr>
          <w:rFonts w:hint="eastAsia"/>
          <w:lang w:val="uk-UA"/>
        </w:rPr>
        <w:t>і</w:t>
      </w:r>
      <w:r w:rsidRPr="002D6CA5">
        <w:rPr>
          <w:lang w:val="uk-UA"/>
        </w:rPr>
        <w:t xml:space="preserve"> </w:t>
      </w:r>
      <w:r w:rsidRPr="002D6CA5">
        <w:rPr>
          <w:rFonts w:hint="eastAsia"/>
          <w:lang w:val="uk-UA"/>
        </w:rPr>
        <w:t>ін</w:t>
      </w:r>
      <w:r w:rsidRPr="002D6CA5">
        <w:rPr>
          <w:lang w:val="uk-UA"/>
        </w:rPr>
        <w:t>.)</w:t>
      </w:r>
      <w:r>
        <w:rPr>
          <w:lang w:val="uk-UA"/>
        </w:rPr>
        <w:t xml:space="preserve"> – 0,026 т/рік</w:t>
      </w:r>
      <w:r w:rsidRPr="002D6CA5">
        <w:rPr>
          <w:lang w:val="uk-UA"/>
        </w:rPr>
        <w:t>. Парникові гази: метан – 0,0592 т/рік; вуглецю діоксид – 3278,323 т/рік; азоту (1) оксид [</w:t>
      </w:r>
      <w:r w:rsidRPr="002D6CA5">
        <w:rPr>
          <w:lang w:val="en-US"/>
        </w:rPr>
        <w:t>N</w:t>
      </w:r>
      <w:r w:rsidRPr="002D6CA5">
        <w:rPr>
          <w:vertAlign w:val="subscript"/>
          <w:lang w:val="uk-UA"/>
        </w:rPr>
        <w:t>2</w:t>
      </w:r>
      <w:r w:rsidRPr="002D6CA5">
        <w:rPr>
          <w:lang w:val="en-US"/>
        </w:rPr>
        <w:t>O</w:t>
      </w:r>
      <w:r w:rsidRPr="002D6CA5">
        <w:rPr>
          <w:lang w:val="uk-UA"/>
        </w:rPr>
        <w:t>] – 0,0061 т/рік.</w:t>
      </w:r>
    </w:p>
    <w:p w14:paraId="61EEB033" w14:textId="77777777" w:rsidR="00871611" w:rsidRPr="007333ED" w:rsidRDefault="00871611" w:rsidP="0087161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333ED">
        <w:rPr>
          <w:i/>
          <w:iCs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7333ED">
        <w:rPr>
          <w:lang w:val="uk-UA"/>
        </w:rPr>
        <w:t xml:space="preserve"> відповідно до </w:t>
      </w:r>
      <w:bookmarkStart w:id="3" w:name="_Hlk152058916"/>
      <w:r w:rsidRPr="007333ED">
        <w:rPr>
          <w:lang w:val="uk-UA"/>
        </w:rPr>
        <w:t>ст. 11 Закону України «Про охорону атмосферного повітря» та Інструкції, затвердженої наказом Міндовкілля №448 від 27.06.2023</w:t>
      </w:r>
      <w:bookmarkEnd w:id="3"/>
      <w:r w:rsidRPr="007333ED">
        <w:rPr>
          <w:lang w:val="uk-UA"/>
        </w:rPr>
        <w:t>, об’єкт належить до другої групи, тому заходи щодо впровадження найкращих існуючих технологій виробництва не розробляються.</w:t>
      </w:r>
    </w:p>
    <w:p w14:paraId="1CEA6E12" w14:textId="77777777" w:rsidR="00871611" w:rsidRPr="007333ED" w:rsidRDefault="00871611" w:rsidP="0087161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333ED">
        <w:rPr>
          <w:i/>
          <w:iCs/>
          <w:lang w:val="uk-UA"/>
        </w:rPr>
        <w:t>Перелік заходів щодо скорочення викидів, що виконані або/та які потребують виконання:</w:t>
      </w:r>
      <w:r w:rsidRPr="007333ED">
        <w:rPr>
          <w:lang w:val="uk-UA"/>
        </w:rPr>
        <w:t xml:space="preserve"> не передбачаються, оскільки перевищення встановлених нормативів граничнодопустимих викидів відсутні.</w:t>
      </w:r>
      <w:bookmarkStart w:id="4" w:name="n124"/>
      <w:bookmarkEnd w:id="4"/>
    </w:p>
    <w:p w14:paraId="688D5E56" w14:textId="77777777" w:rsidR="00871611" w:rsidRPr="007333ED" w:rsidRDefault="00871611" w:rsidP="0087161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lang w:val="uk-UA"/>
        </w:rPr>
      </w:pPr>
      <w:r w:rsidRPr="007333ED">
        <w:rPr>
          <w:i/>
          <w:iCs/>
          <w:lang w:val="uk-UA"/>
        </w:rPr>
        <w:t>Дотримання виконання природоохоронних заходів щодо скорочення викидів:</w:t>
      </w:r>
      <w:r w:rsidRPr="007333ED">
        <w:rPr>
          <w:lang w:val="uk-UA"/>
        </w:rPr>
        <w:t xml:space="preserve"> не передбачено.</w:t>
      </w:r>
      <w:bookmarkStart w:id="5" w:name="n125"/>
      <w:bookmarkEnd w:id="5"/>
    </w:p>
    <w:p w14:paraId="1268F31E" w14:textId="77777777" w:rsidR="00871611" w:rsidRPr="0008374D" w:rsidRDefault="00871611" w:rsidP="0087161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lang w:val="uk-UA"/>
        </w:rPr>
      </w:pPr>
      <w:r w:rsidRPr="007333ED">
        <w:rPr>
          <w:i/>
          <w:iCs/>
          <w:lang w:val="uk-UA"/>
        </w:rPr>
        <w:t>Відповідність пропозицій щодо дозволених обсягів викидів законодавству:</w:t>
      </w:r>
      <w:r w:rsidRPr="007333ED">
        <w:rPr>
          <w:lang w:val="uk-UA"/>
        </w:rPr>
        <w:t xml:space="preserve"> </w:t>
      </w:r>
      <w:r>
        <w:rPr>
          <w:lang w:val="uk-UA"/>
        </w:rPr>
        <w:t>о</w:t>
      </w:r>
      <w:r w:rsidRPr="0008374D">
        <w:rPr>
          <w:lang w:val="uk-UA"/>
        </w:rPr>
        <w:t>бсяги ви</w:t>
      </w:r>
      <w:r>
        <w:rPr>
          <w:lang w:val="uk-UA"/>
        </w:rPr>
        <w:t>ки</w:t>
      </w:r>
      <w:r w:rsidRPr="0008374D">
        <w:rPr>
          <w:lang w:val="uk-UA"/>
        </w:rPr>
        <w:t>дів забруднюючих речовин не перевищують затверджені граничнодопустимі нормативи викидів, встановлені відповідно до наказів Міністерства охорони навколишнього природного середовища України №309 від 27.06.2006 та №540 від 13.10.2009, а викиди, які не підлягають регулюванню та за якими не здійснюється державний облік, не перевищують гігієнічних нормативів.</w:t>
      </w:r>
    </w:p>
    <w:p w14:paraId="5F4392A0" w14:textId="77777777" w:rsidR="00871611" w:rsidRPr="0008374D" w:rsidRDefault="00871611" w:rsidP="0087161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lang w:val="uk-UA"/>
        </w:rPr>
      </w:pPr>
      <w:r w:rsidRPr="0008374D">
        <w:rPr>
          <w:lang w:val="uk-UA"/>
        </w:rPr>
        <w:t>Регулювання викидів від неорганізованих джерел здійснюється шляхом встановлення вимог.</w:t>
      </w:r>
    </w:p>
    <w:p w14:paraId="3E5CDDF7" w14:textId="35DF6D64" w:rsidR="00871611" w:rsidRPr="007333ED" w:rsidRDefault="00871611" w:rsidP="0087161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333ED">
        <w:rPr>
          <w:lang w:val="uk-UA"/>
        </w:rPr>
        <w:t>Зауваження та пропозиції громадських організацій та окремих громадян щодо видачі дозволу на викиди для суб’єкта господарювання направляти в Дніпропетровську обласну військову адміністрацію за адресою: 49004, м. Дніпро, проспект Олександра Поля, будинок</w:t>
      </w:r>
      <w:r w:rsidR="005C700B">
        <w:rPr>
          <w:lang w:val="uk-UA"/>
        </w:rPr>
        <w:t> </w:t>
      </w:r>
      <w:bookmarkStart w:id="6" w:name="_GoBack"/>
      <w:bookmarkEnd w:id="6"/>
      <w:r w:rsidRPr="007333ED">
        <w:rPr>
          <w:lang w:val="uk-UA"/>
        </w:rPr>
        <w:t>1; тел. 0</w:t>
      </w:r>
      <w:r>
        <w:rPr>
          <w:lang w:val="uk-UA"/>
        </w:rPr>
        <w:t> </w:t>
      </w:r>
      <w:r w:rsidRPr="007333ED">
        <w:rPr>
          <w:lang w:val="uk-UA"/>
        </w:rPr>
        <w:t>800</w:t>
      </w:r>
      <w:r>
        <w:rPr>
          <w:lang w:val="uk-UA"/>
        </w:rPr>
        <w:t> </w:t>
      </w:r>
      <w:r w:rsidRPr="007333ED">
        <w:rPr>
          <w:lang w:val="uk-UA"/>
        </w:rPr>
        <w:t>505</w:t>
      </w:r>
      <w:r>
        <w:rPr>
          <w:lang w:val="uk-UA"/>
        </w:rPr>
        <w:t xml:space="preserve"> </w:t>
      </w:r>
      <w:r w:rsidRPr="007333ED">
        <w:rPr>
          <w:lang w:val="uk-UA"/>
        </w:rPr>
        <w:t xml:space="preserve">600; e-mail: </w:t>
      </w:r>
      <w:r w:rsidRPr="00231C19">
        <w:t>e</w:t>
      </w:r>
      <w:r w:rsidRPr="00231C19">
        <w:rPr>
          <w:lang w:val="uk-UA"/>
        </w:rPr>
        <w:t>-</w:t>
      </w:r>
      <w:r w:rsidRPr="00231C19">
        <w:t>contact</w:t>
      </w:r>
      <w:r w:rsidRPr="00231C19">
        <w:rPr>
          <w:lang w:val="uk-UA"/>
        </w:rPr>
        <w:t>.</w:t>
      </w:r>
      <w:r w:rsidRPr="00231C19">
        <w:t>dp</w:t>
      </w:r>
      <w:r w:rsidRPr="00231C19">
        <w:rPr>
          <w:lang w:val="uk-UA"/>
        </w:rPr>
        <w:t>.</w:t>
      </w:r>
      <w:r w:rsidRPr="00231C19">
        <w:t>gov</w:t>
      </w:r>
      <w:r w:rsidRPr="00231C19">
        <w:rPr>
          <w:lang w:val="uk-UA"/>
        </w:rPr>
        <w:t>.</w:t>
      </w:r>
      <w:r w:rsidRPr="00231C19">
        <w:t>ua</w:t>
      </w:r>
      <w:r w:rsidRPr="00231C19">
        <w:rPr>
          <w:lang w:val="uk-UA"/>
        </w:rPr>
        <w:t xml:space="preserve">, </w:t>
      </w:r>
      <w:r w:rsidRPr="00231C19">
        <w:t>zverngrom</w:t>
      </w:r>
      <w:r w:rsidRPr="00231C19">
        <w:rPr>
          <w:lang w:val="uk-UA"/>
        </w:rPr>
        <w:t>@</w:t>
      </w:r>
      <w:r w:rsidRPr="00231C19">
        <w:t>adm</w:t>
      </w:r>
      <w:r w:rsidRPr="00231C19">
        <w:rPr>
          <w:lang w:val="uk-UA"/>
        </w:rPr>
        <w:t>.</w:t>
      </w:r>
      <w:r w:rsidRPr="00231C19">
        <w:t>dp</w:t>
      </w:r>
      <w:r w:rsidRPr="00231C19">
        <w:rPr>
          <w:lang w:val="uk-UA"/>
        </w:rPr>
        <w:t>.</w:t>
      </w:r>
      <w:r w:rsidRPr="00231C19">
        <w:t>gov</w:t>
      </w:r>
      <w:r w:rsidRPr="00231C19">
        <w:rPr>
          <w:lang w:val="uk-UA"/>
        </w:rPr>
        <w:t>.</w:t>
      </w:r>
      <w:r w:rsidRPr="00231C19">
        <w:t>ua</w:t>
      </w:r>
      <w:r w:rsidRPr="007333ED">
        <w:rPr>
          <w:lang w:val="uk-UA"/>
        </w:rPr>
        <w:t>.</w:t>
      </w:r>
    </w:p>
    <w:p w14:paraId="1CC89A33" w14:textId="1A21AA61" w:rsidR="007924C1" w:rsidRPr="005C700B" w:rsidRDefault="00871611" w:rsidP="005C700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lang w:val="uk-UA"/>
        </w:rPr>
      </w:pPr>
      <w:r w:rsidRPr="007333ED">
        <w:rPr>
          <w:i/>
          <w:iCs/>
          <w:lang w:val="uk-UA"/>
        </w:rPr>
        <w:t>Строки подання зауважень та пропозицій:</w:t>
      </w:r>
      <w:r w:rsidRPr="007333ED">
        <w:rPr>
          <w:lang w:val="uk-UA"/>
        </w:rPr>
        <w:t xml:space="preserve"> протягом 30 календарних днів з дати публікації в друкованих ЗМІ.</w:t>
      </w:r>
    </w:p>
    <w:sectPr w:rsidR="007924C1" w:rsidRPr="005C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63"/>
    <w:rsid w:val="005C700B"/>
    <w:rsid w:val="0064071B"/>
    <w:rsid w:val="007924C1"/>
    <w:rsid w:val="00871611"/>
    <w:rsid w:val="00CF1063"/>
    <w:rsid w:val="00D1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8CE2"/>
  <w15:chartTrackingRefBased/>
  <w15:docId w15:val="{60202024-EBB5-48DF-854E-486931EF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71611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716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5">
    <w:name w:val="Основной текст.таблицы.Основной текст таблиц.в таблице.в таблицах"/>
    <w:basedOn w:val="a"/>
    <w:rsid w:val="00871611"/>
    <w:pPr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Абзац списка Знак"/>
    <w:link w:val="a3"/>
    <w:uiPriority w:val="34"/>
    <w:qFormat/>
    <w:locked/>
    <w:rsid w:val="00871611"/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87161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4477</Words>
  <Characters>2552</Characters>
  <Application>Microsoft Office Word</Application>
  <DocSecurity>0</DocSecurity>
  <Lines>21</Lines>
  <Paragraphs>14</Paragraphs>
  <ScaleCrop>false</ScaleCrop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2024-12-25T09:39:00Z</dcterms:created>
  <dcterms:modified xsi:type="dcterms:W3CDTF">2024-12-25T09:58:00Z</dcterms:modified>
</cp:coreProperties>
</file>